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H1 2025 Trading Update: EBITDA Up 15% YoY. Strong Results, Better Outlook</w:t>
      </w:r>
    </w:p>
    <w:p w:rsidR="00000000" w:rsidDel="00000000" w:rsidP="00000000" w:rsidRDefault="00000000" w:rsidRPr="00000000" w14:paraId="00000002">
      <w:pPr>
        <w:rPr>
          <w:b w:val="1"/>
        </w:rPr>
      </w:pPr>
      <w:r w:rsidDel="00000000" w:rsidR="00000000" w:rsidRPr="00000000">
        <w:rPr>
          <w:b w:val="1"/>
          <w:rtl w:val="0"/>
        </w:rPr>
        <w:t xml:space="preserve">Prague, 17 September 2025</w:t>
      </w:r>
    </w:p>
    <w:p w:rsidR="00000000" w:rsidDel="00000000" w:rsidP="00000000" w:rsidRDefault="00000000" w:rsidRPr="00000000" w14:paraId="00000003">
      <w:pPr>
        <w:rPr>
          <w:b w:val="1"/>
        </w:rPr>
      </w:pPr>
      <w:r w:rsidDel="00000000" w:rsidR="00000000" w:rsidRPr="00000000">
        <w:rPr>
          <w:b w:val="1"/>
          <w:rtl w:val="0"/>
        </w:rPr>
        <w:t xml:space="preserve">GEVORKYAN H1 2025 Highlights:</w:t>
      </w:r>
    </w:p>
    <w:p w:rsidR="00000000" w:rsidDel="00000000" w:rsidP="00000000" w:rsidRDefault="00000000" w:rsidRPr="00000000" w14:paraId="00000004">
      <w:pPr>
        <w:numPr>
          <w:ilvl w:val="0"/>
          <w:numId w:val="1"/>
        </w:numPr>
        <w:spacing w:after="0" w:afterAutospacing="0"/>
        <w:ind w:left="720" w:hanging="360"/>
        <w:jc w:val="both"/>
        <w:rPr/>
      </w:pPr>
      <w:r w:rsidDel="00000000" w:rsidR="00000000" w:rsidRPr="00000000">
        <w:rPr>
          <w:rtl w:val="0"/>
        </w:rPr>
        <w:t xml:space="preserve">Revenues increased by 11% YoY to over EUR 42.1 million</w:t>
      </w:r>
    </w:p>
    <w:p w:rsidR="00000000" w:rsidDel="00000000" w:rsidP="00000000" w:rsidRDefault="00000000" w:rsidRPr="00000000" w14:paraId="00000005">
      <w:pPr>
        <w:numPr>
          <w:ilvl w:val="0"/>
          <w:numId w:val="1"/>
        </w:numPr>
        <w:spacing w:after="0" w:afterAutospacing="0"/>
        <w:ind w:left="720" w:hanging="360"/>
        <w:jc w:val="both"/>
        <w:rPr/>
      </w:pPr>
      <w:r w:rsidDel="00000000" w:rsidR="00000000" w:rsidRPr="00000000">
        <w:rPr>
          <w:rtl w:val="0"/>
        </w:rPr>
        <w:t xml:space="preserve">EBITDA grew by 15% YoY, reaching EUR 13.8 million</w:t>
      </w:r>
    </w:p>
    <w:p w:rsidR="00000000" w:rsidDel="00000000" w:rsidP="00000000" w:rsidRDefault="00000000" w:rsidRPr="00000000" w14:paraId="00000006">
      <w:pPr>
        <w:numPr>
          <w:ilvl w:val="0"/>
          <w:numId w:val="1"/>
        </w:numPr>
        <w:spacing w:after="0" w:afterAutospacing="0"/>
        <w:ind w:left="720" w:hanging="360"/>
        <w:jc w:val="both"/>
        <w:rPr/>
      </w:pPr>
      <w:r w:rsidDel="00000000" w:rsidR="00000000" w:rsidRPr="00000000">
        <w:rPr>
          <w:rtl w:val="0"/>
        </w:rPr>
        <w:t xml:space="preserve">EBITDA margin 1.2 p.p. up, representing 32.7%</w:t>
      </w:r>
    </w:p>
    <w:p w:rsidR="00000000" w:rsidDel="00000000" w:rsidP="00000000" w:rsidRDefault="00000000" w:rsidRPr="00000000" w14:paraId="00000007">
      <w:pPr>
        <w:numPr>
          <w:ilvl w:val="0"/>
          <w:numId w:val="1"/>
        </w:numPr>
        <w:spacing w:after="0" w:afterAutospacing="0"/>
        <w:ind w:left="720" w:hanging="360"/>
        <w:jc w:val="both"/>
        <w:rPr/>
      </w:pPr>
      <w:r w:rsidDel="00000000" w:rsidR="00000000" w:rsidRPr="00000000">
        <w:rPr>
          <w:rtl w:val="0"/>
        </w:rPr>
        <w:t xml:space="preserve">FY2025 outlook: Estimated revenue growth of 11–18%, EBITDA growth of 15–23%</w:t>
      </w:r>
    </w:p>
    <w:p w:rsidR="00000000" w:rsidDel="00000000" w:rsidP="00000000" w:rsidRDefault="00000000" w:rsidRPr="00000000" w14:paraId="00000008">
      <w:pPr>
        <w:numPr>
          <w:ilvl w:val="0"/>
          <w:numId w:val="1"/>
        </w:numPr>
        <w:ind w:left="720" w:hanging="360"/>
        <w:jc w:val="both"/>
        <w:rPr/>
      </w:pPr>
      <w:r w:rsidDel="00000000" w:rsidR="00000000" w:rsidRPr="00000000">
        <w:rPr>
          <w:rtl w:val="0"/>
        </w:rPr>
        <w:t xml:space="preserve">5-year outlook: Estimated revenue CAGR of 10–16%, EBITDA CAGR of 10–18%</w:t>
      </w:r>
    </w:p>
    <w:p w:rsidR="00000000" w:rsidDel="00000000" w:rsidP="00000000" w:rsidRDefault="00000000" w:rsidRPr="00000000" w14:paraId="00000009">
      <w:pPr>
        <w:spacing w:after="80" w:line="240" w:lineRule="auto"/>
        <w:jc w:val="both"/>
        <w:rPr/>
      </w:pPr>
      <w:r w:rsidDel="00000000" w:rsidR="00000000" w:rsidRPr="00000000">
        <w:rPr>
          <w:rtl w:val="0"/>
        </w:rPr>
        <w:t xml:space="preserve">GEVORKYAN, a.s., a world-renowned leading innovator in powder metallurgy, announces selected financial and operating results for the six months ending June 30, 2025, updated FY 2025 and five-year outlook.</w:t>
      </w:r>
    </w:p>
    <w:p w:rsidR="00000000" w:rsidDel="00000000" w:rsidP="00000000" w:rsidRDefault="00000000" w:rsidRPr="00000000" w14:paraId="0000000A">
      <w:pPr>
        <w:spacing w:after="80" w:line="240" w:lineRule="auto"/>
        <w:jc w:val="both"/>
        <w:rPr/>
      </w:pPr>
      <w:r w:rsidDel="00000000" w:rsidR="00000000" w:rsidRPr="00000000">
        <w:rPr>
          <w:rtl w:val="0"/>
        </w:rPr>
        <w:t xml:space="preserve">GEVORKYAN, a.s. reported H1 2025 revenues of EUR 42.2 million, an increase by 11% YoY, and EBITDA of EUR 13.8 million, a 15% YoY growth, reaching an EBITDA margin of 32.7% (+1.2 p.p. YoY). </w:t>
      </w:r>
    </w:p>
    <w:p w:rsidR="00000000" w:rsidDel="00000000" w:rsidP="00000000" w:rsidRDefault="00000000" w:rsidRPr="00000000" w14:paraId="0000000B">
      <w:pPr>
        <w:spacing w:after="80" w:line="240" w:lineRule="auto"/>
        <w:jc w:val="both"/>
        <w:rPr/>
      </w:pPr>
      <w:r w:rsidDel="00000000" w:rsidR="00000000" w:rsidRPr="00000000">
        <w:rPr>
          <w:rtl w:val="0"/>
        </w:rPr>
        <w:t xml:space="preserve">The company further reported operating EBIT of EUR 4.6 million in H1 2025, an increase of 12.0% compared to the same period last year, and profit after tax (EAT) at nearly EUR 3.0 million, representing a 17.9% increase compared to the same period last year.</w:t>
      </w:r>
    </w:p>
    <w:p w:rsidR="00000000" w:rsidDel="00000000" w:rsidP="00000000" w:rsidRDefault="00000000" w:rsidRPr="00000000" w14:paraId="0000000C">
      <w:pPr>
        <w:spacing w:after="80" w:line="240" w:lineRule="auto"/>
        <w:jc w:val="both"/>
        <w:rPr/>
      </w:pPr>
      <w:r w:rsidDel="00000000" w:rsidR="00000000" w:rsidRPr="00000000">
        <w:rPr>
          <w:rtl w:val="0"/>
        </w:rPr>
        <w:t xml:space="preserve">Building on strong H1 results, confirmed orders, and expected tailwinds, in 2025, GEVORKYAN projects revenue growth of 11–18% and EBITDA up 15–23% at EBITDA margins around 36%. In the five-year term, GEVORKYAN expects revenue CAGR of 10–16% and EBITDA CAGR of 10–18%, underpinned by a robust backlog and new contracts in aerospace &amp; defense, and other strategic sectors.</w:t>
      </w:r>
      <w:r w:rsidDel="00000000" w:rsidR="00000000" w:rsidRPr="00000000">
        <w:rPr>
          <w:rtl w:val="0"/>
        </w:rPr>
      </w:r>
    </w:p>
    <w:p w:rsidR="00000000" w:rsidDel="00000000" w:rsidP="00000000" w:rsidRDefault="00000000" w:rsidRPr="00000000" w14:paraId="0000000D">
      <w:pPr>
        <w:spacing w:after="0" w:before="120" w:line="240" w:lineRule="auto"/>
        <w:jc w:val="both"/>
        <w:rPr>
          <w:highlight w:val="yellow"/>
        </w:rPr>
      </w:pPr>
      <w:r w:rsidDel="00000000" w:rsidR="00000000" w:rsidRPr="00000000">
        <w:rPr>
          <w:rtl w:val="0"/>
        </w:rPr>
      </w:r>
    </w:p>
    <w:p w:rsidR="00000000" w:rsidDel="00000000" w:rsidP="00000000" w:rsidRDefault="00000000" w:rsidRPr="00000000" w14:paraId="0000000E">
      <w:pPr>
        <w:spacing w:after="0" w:before="120" w:line="240" w:lineRule="auto"/>
        <w:jc w:val="both"/>
        <w:rPr>
          <w:highlight w:val="yellow"/>
        </w:rPr>
      </w:pPr>
      <w:r w:rsidDel="00000000" w:rsidR="00000000" w:rsidRPr="00000000">
        <w:rPr>
          <w:rtl w:val="0"/>
        </w:rPr>
      </w:r>
    </w:p>
    <w:p w:rsidR="00000000" w:rsidDel="00000000" w:rsidP="00000000" w:rsidRDefault="00000000" w:rsidRPr="00000000" w14:paraId="0000000F">
      <w:pPr>
        <w:spacing w:after="0" w:line="240" w:lineRule="auto"/>
        <w:jc w:val="both"/>
        <w:rPr>
          <w:b w:val="1"/>
        </w:rPr>
      </w:pPr>
      <w:r w:rsidDel="00000000" w:rsidR="00000000" w:rsidRPr="00000000">
        <w:rPr>
          <w:b w:val="1"/>
          <w:rtl w:val="0"/>
        </w:rPr>
        <w:t xml:space="preserve">Additional information</w:t>
      </w:r>
    </w:p>
    <w:p w:rsidR="00000000" w:rsidDel="00000000" w:rsidP="00000000" w:rsidRDefault="00000000" w:rsidRPr="00000000" w14:paraId="00000010">
      <w:pPr>
        <w:spacing w:after="0" w:line="240" w:lineRule="auto"/>
        <w:jc w:val="both"/>
        <w:rPr/>
      </w:pPr>
      <w:r w:rsidDel="00000000" w:rsidR="00000000" w:rsidRPr="00000000">
        <w:rPr>
          <w:rtl w:val="0"/>
        </w:rPr>
        <w:t xml:space="preserve">View t</w:t>
      </w:r>
      <w:r w:rsidDel="00000000" w:rsidR="00000000" w:rsidRPr="00000000">
        <w:rPr>
          <w:rtl w:val="0"/>
        </w:rPr>
        <w:t xml:space="preserve">his press release and other documents at </w:t>
      </w:r>
      <w:hyperlink r:id="rId7">
        <w:r w:rsidDel="00000000" w:rsidR="00000000" w:rsidRPr="00000000">
          <w:rPr>
            <w:color w:val="0563c1"/>
            <w:u w:val="single"/>
            <w:rtl w:val="0"/>
          </w:rPr>
          <w:t xml:space="preserve">For investors | Gevorkyan</w:t>
        </w:r>
      </w:hyperlink>
      <w:r w:rsidDel="00000000" w:rsidR="00000000" w:rsidRPr="00000000">
        <w:rPr>
          <w:rtl w:val="0"/>
        </w:rPr>
      </w:r>
    </w:p>
    <w:p w:rsidR="00000000" w:rsidDel="00000000" w:rsidP="00000000" w:rsidRDefault="00000000" w:rsidRPr="00000000" w14:paraId="00000011">
      <w:pPr>
        <w:spacing w:after="0" w:line="240" w:lineRule="auto"/>
        <w:jc w:val="both"/>
        <w:rPr/>
      </w:pPr>
      <w:r w:rsidDel="00000000" w:rsidR="00000000" w:rsidRPr="00000000">
        <w:rPr>
          <w:rtl w:val="0"/>
        </w:rPr>
      </w:r>
    </w:p>
    <w:p w:rsidR="00000000" w:rsidDel="00000000" w:rsidP="00000000" w:rsidRDefault="00000000" w:rsidRPr="00000000" w14:paraId="00000012">
      <w:pPr>
        <w:spacing w:after="0" w:before="120" w:line="240" w:lineRule="auto"/>
        <w:jc w:val="both"/>
        <w:rPr>
          <w:b w:val="1"/>
        </w:rPr>
      </w:pPr>
      <w:r w:rsidDel="00000000" w:rsidR="00000000" w:rsidRPr="00000000">
        <w:rPr>
          <w:b w:val="1"/>
          <w:rtl w:val="0"/>
        </w:rPr>
        <w:t xml:space="preserve">Contact Information</w:t>
      </w:r>
    </w:p>
    <w:p w:rsidR="00000000" w:rsidDel="00000000" w:rsidP="00000000" w:rsidRDefault="00000000" w:rsidRPr="00000000" w14:paraId="00000013">
      <w:pPr>
        <w:spacing w:after="0" w:before="120" w:line="240" w:lineRule="auto"/>
        <w:jc w:val="both"/>
        <w:rPr>
          <w:b w:val="1"/>
        </w:rPr>
      </w:pPr>
      <w:r w:rsidDel="00000000" w:rsidR="00000000" w:rsidRPr="00000000">
        <w:rPr>
          <w:b w:val="1"/>
          <w:rtl w:val="0"/>
        </w:rPr>
        <w:t xml:space="preserve">Investor Relations</w:t>
      </w:r>
    </w:p>
    <w:p w:rsidR="00000000" w:rsidDel="00000000" w:rsidP="00000000" w:rsidRDefault="00000000" w:rsidRPr="00000000" w14:paraId="00000014">
      <w:pPr>
        <w:spacing w:after="0" w:before="120" w:line="240" w:lineRule="auto"/>
        <w:jc w:val="both"/>
        <w:rPr/>
      </w:pPr>
      <w:r w:rsidDel="00000000" w:rsidR="00000000" w:rsidRPr="00000000">
        <w:rPr>
          <w:rtl w:val="0"/>
        </w:rPr>
        <w:t xml:space="preserve">Maxim Platonov, </w:t>
      </w:r>
      <w:hyperlink r:id="rId8">
        <w:r w:rsidDel="00000000" w:rsidR="00000000" w:rsidRPr="00000000">
          <w:rPr>
            <w:color w:val="1155cc"/>
            <w:u w:val="single"/>
            <w:rtl w:val="0"/>
          </w:rPr>
          <w:t xml:space="preserve">investor.relations@gevorkyan.sk</w:t>
        </w:r>
      </w:hyperlink>
      <w:r w:rsidDel="00000000" w:rsidR="00000000" w:rsidRPr="00000000">
        <w:rPr>
          <w:rtl w:val="0"/>
        </w:rPr>
        <w:t xml:space="preserve"> </w:t>
      </w:r>
    </w:p>
    <w:p w:rsidR="00000000" w:rsidDel="00000000" w:rsidP="00000000" w:rsidRDefault="00000000" w:rsidRPr="00000000" w14:paraId="00000015">
      <w:pPr>
        <w:spacing w:after="0" w:before="120" w:line="240" w:lineRule="auto"/>
        <w:jc w:val="both"/>
        <w:rPr>
          <w:b w:val="1"/>
        </w:rPr>
      </w:pPr>
      <w:r w:rsidDel="00000000" w:rsidR="00000000" w:rsidRPr="00000000">
        <w:rPr>
          <w:b w:val="1"/>
          <w:rtl w:val="0"/>
        </w:rPr>
        <w:t xml:space="preserve">Media</w:t>
      </w:r>
    </w:p>
    <w:p w:rsidR="00000000" w:rsidDel="00000000" w:rsidP="00000000" w:rsidRDefault="00000000" w:rsidRPr="00000000" w14:paraId="00000016">
      <w:pPr>
        <w:spacing w:after="0" w:before="120" w:line="240" w:lineRule="auto"/>
        <w:jc w:val="both"/>
        <w:rPr>
          <w:i w:val="1"/>
        </w:rPr>
      </w:pPr>
      <w:r w:rsidDel="00000000" w:rsidR="00000000" w:rsidRPr="00000000">
        <w:rPr>
          <w:rtl w:val="0"/>
        </w:rPr>
        <w:t xml:space="preserve">Alexandra Hazuchová, </w:t>
      </w:r>
      <w:hyperlink r:id="rId9">
        <w:r w:rsidDel="00000000" w:rsidR="00000000" w:rsidRPr="00000000">
          <w:rPr>
            <w:color w:val="0563c1"/>
            <w:u w:val="single"/>
            <w:rtl w:val="0"/>
          </w:rPr>
          <w:t xml:space="preserve">marketing@gevorkyan.sk</w:t>
        </w:r>
      </w:hyperlink>
      <w:r w:rsidDel="00000000" w:rsidR="00000000" w:rsidRPr="00000000">
        <w:rPr>
          <w:rtl w:val="0"/>
        </w:rPr>
      </w:r>
    </w:p>
    <w:p w:rsidR="00000000" w:rsidDel="00000000" w:rsidP="00000000" w:rsidRDefault="00000000" w:rsidRPr="00000000" w14:paraId="00000017">
      <w:pPr>
        <w:spacing w:after="0" w:line="240" w:lineRule="auto"/>
        <w:jc w:val="both"/>
        <w:rPr/>
      </w:pPr>
      <w:r w:rsidDel="00000000" w:rsidR="00000000" w:rsidRPr="00000000">
        <w:rPr>
          <w:rtl w:val="0"/>
        </w:rPr>
      </w:r>
    </w:p>
    <w:p w:rsidR="00000000" w:rsidDel="00000000" w:rsidP="00000000" w:rsidRDefault="00000000" w:rsidRPr="00000000" w14:paraId="00000018">
      <w:pPr>
        <w:spacing w:after="0" w:line="240" w:lineRule="auto"/>
        <w:jc w:val="both"/>
        <w:rPr>
          <w:b w:val="1"/>
          <w:sz w:val="18"/>
          <w:szCs w:val="18"/>
        </w:rPr>
      </w:pPr>
      <w:r w:rsidDel="00000000" w:rsidR="00000000" w:rsidRPr="00000000">
        <w:rPr>
          <w:b w:val="1"/>
          <w:sz w:val="18"/>
          <w:szCs w:val="18"/>
          <w:rtl w:val="0"/>
        </w:rPr>
        <w:t xml:space="preserve">About GEVORKYAN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rPr>
          <w:sz w:val="18"/>
          <w:szCs w:val="18"/>
          <w:rtl w:val="0"/>
        </w:rPr>
        <w:t xml:space="preserve">GEVORKYAN, a.s., a world-renowned leading innovator in powder metallurgy, that produces [give a short overview] using sintering, metal powder injection moulding (MIM), hot isostatic pressing (HIP), and additive manufacturing (AM)</w:t>
      </w:r>
    </w:p>
    <w:p w:rsidR="00000000" w:rsidDel="00000000" w:rsidP="00000000" w:rsidRDefault="00000000" w:rsidRPr="00000000" w14:paraId="0000001A">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1B">
      <w:pPr>
        <w:spacing w:after="0" w:line="240" w:lineRule="auto"/>
        <w:jc w:val="both"/>
        <w:rPr>
          <w:b w:val="1"/>
          <w:sz w:val="18"/>
          <w:szCs w:val="18"/>
        </w:rPr>
      </w:pPr>
      <w:r w:rsidDel="00000000" w:rsidR="00000000" w:rsidRPr="00000000">
        <w:rPr>
          <w:b w:val="1"/>
          <w:sz w:val="18"/>
          <w:szCs w:val="18"/>
          <w:rtl w:val="0"/>
        </w:rPr>
        <w:t xml:space="preserve">Disclaimer</w:t>
      </w:r>
    </w:p>
    <w:p w:rsidR="00000000" w:rsidDel="00000000" w:rsidP="00000000" w:rsidRDefault="00000000" w:rsidRPr="00000000" w14:paraId="0000001C">
      <w:pPr>
        <w:spacing w:after="0" w:line="240" w:lineRule="auto"/>
        <w:jc w:val="both"/>
        <w:rPr>
          <w:i w:val="1"/>
          <w:sz w:val="18"/>
          <w:szCs w:val="18"/>
        </w:rPr>
      </w:pPr>
      <w:r w:rsidDel="00000000" w:rsidR="00000000" w:rsidRPr="00000000">
        <w:rPr>
          <w:i w:val="1"/>
          <w:sz w:val="18"/>
          <w:szCs w:val="18"/>
          <w:rtl w:val="0"/>
        </w:rPr>
        <w:t xml:space="preserve">This document does not constitute an offer or invitation to sell or purchase securities in any way. The information contained herein is purely informative, and for its context and explanation, we recommend contacting the representative of GEVORKYAN, a.s. mentioned above. The public offering of shares in the Czech Republic was conducted based on the share prospectus prepared according to Regulation (EU) 2017/1129 of the European Parliament and Council, which is available on the website of GEVORKYAN, a.s.</w:t>
      </w:r>
    </w:p>
    <w:p w:rsidR="00000000" w:rsidDel="00000000" w:rsidP="00000000" w:rsidRDefault="00000000" w:rsidRPr="00000000" w14:paraId="0000001D">
      <w:pPr>
        <w:spacing w:after="0" w:line="240" w:lineRule="auto"/>
        <w:jc w:val="both"/>
        <w:rPr>
          <w:i w:val="1"/>
          <w:sz w:val="18"/>
          <w:szCs w:val="18"/>
        </w:rPr>
      </w:pPr>
      <w:r w:rsidDel="00000000" w:rsidR="00000000" w:rsidRPr="00000000">
        <w:rPr>
          <w:i w:val="1"/>
          <w:sz w:val="18"/>
          <w:szCs w:val="18"/>
          <w:rtl w:val="0"/>
        </w:rPr>
        <w:t xml:space="preserve">This document contains “forward-looking statements”, that may be identified by terms such as “may,” “will,” “expect,” “believe,” “estimate,” etc., relating to strategic priorities, performance, growth, transactions, or market trends. They are subject to risks, uncertainties, and actual outcomes may differ materially. The forward-looking statements included in this document are based on management’s best assessment of GEVORKYAN’s strategic and financial position and of future market conditions, trends and other potential developments. These discussions involve risks and uncertainties. The actual outcome may differ materially from these statements as a result of, among other things: further escalation in the war in Ukraine, including further sanctions and counter-sanctions; demand for and market acceptance of GEVORKYAN’s products and services; our plans regarding our dividend policies and payments, as well as our ability to receive loans, transfers or other payments or guarantees from financial institutions; governmental regulation of the metallurgy industry and powder metallurgy sector; litigation or disputes with third parties or regulatory authorities or other negative developments regarding such parties; the impact of export controls and laws affecting trade and investment on our and important third-party suppliers' ability to procure goods, software or technology necessary for the products and services we provide to our customers, including those that arise as a results of baseline or so called "reciprocal tariffs" imposed in the countries in which we operate; other risks beyond the parties’ control or a failure to meet expectations regarding various strategic priorities, the effect of foreign currency fluctuations, increased competition in the markets in which GEVORKYAN operates and the effect of consumer taxes on the purchasing activities of consumers of GEVORKYAN’s products. </w:t>
      </w:r>
    </w:p>
    <w:p w:rsidR="00000000" w:rsidDel="00000000" w:rsidP="00000000" w:rsidRDefault="00000000" w:rsidRPr="00000000" w14:paraId="0000001E">
      <w:pPr>
        <w:spacing w:after="0" w:line="240" w:lineRule="auto"/>
        <w:jc w:val="both"/>
        <w:rPr>
          <w:i w:val="1"/>
          <w:sz w:val="18"/>
          <w:szCs w:val="18"/>
        </w:rPr>
      </w:pPr>
      <w:r w:rsidDel="00000000" w:rsidR="00000000" w:rsidRPr="00000000">
        <w:rPr>
          <w:rtl w:val="0"/>
        </w:rPr>
      </w:r>
    </w:p>
    <w:p w:rsidR="00000000" w:rsidDel="00000000" w:rsidP="00000000" w:rsidRDefault="00000000" w:rsidRPr="00000000" w14:paraId="0000001F">
      <w:pPr>
        <w:spacing w:after="0" w:line="240" w:lineRule="auto"/>
        <w:jc w:val="both"/>
        <w:rPr>
          <w:b w:val="1"/>
          <w:i w:val="1"/>
          <w:sz w:val="18"/>
          <w:szCs w:val="18"/>
        </w:rPr>
      </w:pPr>
      <w:r w:rsidDel="00000000" w:rsidR="00000000" w:rsidRPr="00000000">
        <w:rPr>
          <w:b w:val="1"/>
          <w:i w:val="1"/>
          <w:sz w:val="18"/>
          <w:szCs w:val="18"/>
          <w:rtl w:val="0"/>
        </w:rPr>
        <w:t xml:space="preserve">NOTICE TO READERS: FINANCIAL INFORMATION PRESENTED </w:t>
      </w:r>
    </w:p>
    <w:p w:rsidR="00000000" w:rsidDel="00000000" w:rsidP="00000000" w:rsidRDefault="00000000" w:rsidRPr="00000000" w14:paraId="00000020">
      <w:pPr>
        <w:spacing w:after="0" w:line="240" w:lineRule="auto"/>
        <w:jc w:val="both"/>
        <w:rPr>
          <w:i w:val="1"/>
          <w:sz w:val="18"/>
          <w:szCs w:val="18"/>
        </w:rPr>
      </w:pPr>
      <w:r w:rsidDel="00000000" w:rsidR="00000000" w:rsidRPr="00000000">
        <w:rPr>
          <w:i w:val="1"/>
          <w:sz w:val="18"/>
          <w:szCs w:val="18"/>
          <w:rtl w:val="0"/>
        </w:rPr>
        <w:t xml:space="preserve">GEVORKYAN's results and other financial information presented in this document are, unless otherwise stated, prepared in accordance with International Financial Reporting Standards ("IFRS") based on internal management reporting, are the responsibility of management and have not been externally audited, reviewed, or verified. As such, you should not place undue reliance on this information. This information may not be indicative of the actual results for any future period.</w:t>
      </w:r>
    </w:p>
    <w:p w:rsidR="00000000" w:rsidDel="00000000" w:rsidP="00000000" w:rsidRDefault="00000000" w:rsidRPr="00000000" w14:paraId="00000021">
      <w:pPr>
        <w:spacing w:after="0" w:line="240" w:lineRule="auto"/>
        <w:jc w:val="both"/>
        <w:rPr>
          <w:i w:val="1"/>
          <w:sz w:val="18"/>
          <w:szCs w:val="18"/>
        </w:rPr>
      </w:pPr>
      <w:r w:rsidDel="00000000" w:rsidR="00000000" w:rsidRPr="00000000">
        <w:rPr>
          <w:rtl w:val="0"/>
        </w:rPr>
      </w:r>
    </w:p>
    <w:sectPr>
      <w:headerReference r:id="rId10" w:type="default"/>
      <w:footerReference r:id="rId11" w:type="default"/>
      <w:pgSz w:h="16838" w:w="11906" w:orient="portrait"/>
      <w:pgMar w:bottom="1417" w:top="1417" w:left="1417" w:right="1417"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2010315</wp:posOffset>
          </wp:positionH>
          <wp:positionV relativeFrom="paragraph">
            <wp:posOffset>-113029</wp:posOffset>
          </wp:positionV>
          <wp:extent cx="1740089" cy="560637"/>
          <wp:effectExtent b="0" l="0" r="0" t="0"/>
          <wp:wrapNone/>
          <wp:docPr id="1401742835" name="image1.png"/>
          <a:graphic>
            <a:graphicData uri="http://schemas.openxmlformats.org/drawingml/2006/picture">
              <pic:pic>
                <pic:nvPicPr>
                  <pic:cNvPr id="0" name="image1.png"/>
                  <pic:cNvPicPr preferRelativeResize="0"/>
                </pic:nvPicPr>
                <pic:blipFill>
                  <a:blip r:embed="rId1"/>
                  <a:srcRect b="0" l="5180" r="0" t="0"/>
                  <a:stretch>
                    <a:fillRect/>
                  </a:stretch>
                </pic:blipFill>
                <pic:spPr>
                  <a:xfrm>
                    <a:off x="0" y="0"/>
                    <a:ext cx="1740089" cy="5606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Hlavika">
    <w:name w:val="header"/>
    <w:basedOn w:val="Normlny"/>
    <w:link w:val="HlavikaChar"/>
    <w:uiPriority w:val="99"/>
    <w:unhideWhenUsed w:val="1"/>
    <w:rsid w:val="00D95CD5"/>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D95CD5"/>
  </w:style>
  <w:style w:type="paragraph" w:styleId="Pta">
    <w:name w:val="footer"/>
    <w:basedOn w:val="Normlny"/>
    <w:link w:val="PtaChar"/>
    <w:uiPriority w:val="99"/>
    <w:unhideWhenUsed w:val="1"/>
    <w:rsid w:val="00D95CD5"/>
    <w:pPr>
      <w:tabs>
        <w:tab w:val="center" w:pos="4536"/>
        <w:tab w:val="right" w:pos="9072"/>
      </w:tabs>
      <w:spacing w:after="0" w:line="240" w:lineRule="auto"/>
    </w:pPr>
  </w:style>
  <w:style w:type="character" w:styleId="PtaChar" w:customStyle="1">
    <w:name w:val="Päta Char"/>
    <w:basedOn w:val="Predvolenpsmoodseku"/>
    <w:link w:val="Pta"/>
    <w:uiPriority w:val="99"/>
    <w:rsid w:val="00D95CD5"/>
  </w:style>
  <w:style w:type="paragraph" w:styleId="Normlnywebov">
    <w:name w:val="Normal (Web)"/>
    <w:basedOn w:val="Normlny"/>
    <w:uiPriority w:val="99"/>
    <w:unhideWhenUsed w:val="1"/>
    <w:rsid w:val="0081351E"/>
    <w:pPr>
      <w:spacing w:after="100" w:afterAutospacing="1" w:before="100" w:beforeAutospacing="1" w:line="240" w:lineRule="auto"/>
    </w:pPr>
    <w:rPr>
      <w:rFonts w:ascii="Times New Roman" w:cs="Times New Roman" w:eastAsia="Times New Roman" w:hAnsi="Times New Roman"/>
      <w:kern w:val="0"/>
      <w:sz w:val="24"/>
      <w:szCs w:val="24"/>
      <w:lang w:eastAsia="sk-SK"/>
    </w:rPr>
  </w:style>
  <w:style w:type="character" w:styleId="Vrazn">
    <w:name w:val="Strong"/>
    <w:basedOn w:val="Predvolenpsmoodseku"/>
    <w:uiPriority w:val="22"/>
    <w:qFormat w:val="1"/>
    <w:rsid w:val="0081351E"/>
    <w:rPr>
      <w:b w:val="1"/>
      <w:bCs w:val="1"/>
    </w:rPr>
  </w:style>
  <w:style w:type="character" w:styleId="Zvraznenie">
    <w:name w:val="Emphasis"/>
    <w:basedOn w:val="Predvolenpsmoodseku"/>
    <w:uiPriority w:val="20"/>
    <w:qFormat w:val="1"/>
    <w:rsid w:val="0081351E"/>
    <w:rPr>
      <w:i w:val="1"/>
      <w:iCs w:val="1"/>
    </w:rPr>
  </w:style>
  <w:style w:type="character" w:styleId="Hypertextovprepojenie">
    <w:name w:val="Hyperlink"/>
    <w:basedOn w:val="Predvolenpsmoodseku"/>
    <w:uiPriority w:val="99"/>
    <w:unhideWhenUsed w:val="1"/>
    <w:rsid w:val="007965D6"/>
    <w:rPr>
      <w:color w:val="0563c1"/>
      <w:u w:val="single"/>
    </w:rPr>
  </w:style>
  <w:style w:type="paragraph" w:styleId="Revzia">
    <w:name w:val="Revision"/>
    <w:hidden w:val="1"/>
    <w:uiPriority w:val="99"/>
    <w:semiHidden w:val="1"/>
    <w:rsid w:val="009D54D5"/>
    <w:pPr>
      <w:spacing w:after="0" w:line="240" w:lineRule="auto"/>
    </w:pPr>
  </w:style>
  <w:style w:type="character" w:styleId="rynqvb" w:customStyle="1">
    <w:name w:val="rynqvb"/>
    <w:basedOn w:val="Predvolenpsmoodseku"/>
    <w:rsid w:val="00AE7DF0"/>
  </w:style>
  <w:style w:type="character" w:styleId="Nevyrieenzmienka">
    <w:name w:val="Unresolved Mention"/>
    <w:basedOn w:val="Predvolenpsmoodseku"/>
    <w:uiPriority w:val="99"/>
    <w:semiHidden w:val="1"/>
    <w:unhideWhenUsed w:val="1"/>
    <w:rsid w:val="00EE02F2"/>
    <w:rPr>
      <w:color w:val="605e5c"/>
      <w:shd w:color="auto" w:fill="e1dfdd" w:val="clear"/>
    </w:rPr>
  </w:style>
  <w:style w:type="character" w:styleId="Odkaznakomentr">
    <w:name w:val="annotation reference"/>
    <w:basedOn w:val="Predvolenpsmoodseku"/>
    <w:uiPriority w:val="99"/>
    <w:semiHidden w:val="1"/>
    <w:unhideWhenUsed w:val="1"/>
    <w:rsid w:val="00150FE8"/>
    <w:rPr>
      <w:sz w:val="16"/>
      <w:szCs w:val="16"/>
    </w:rPr>
  </w:style>
  <w:style w:type="paragraph" w:styleId="Textkomentra">
    <w:name w:val="annotation text"/>
    <w:basedOn w:val="Normlny"/>
    <w:link w:val="TextkomentraChar"/>
    <w:uiPriority w:val="99"/>
    <w:unhideWhenUsed w:val="1"/>
    <w:rsid w:val="00150FE8"/>
    <w:pPr>
      <w:spacing w:line="240" w:lineRule="auto"/>
    </w:pPr>
    <w:rPr>
      <w:sz w:val="20"/>
      <w:szCs w:val="20"/>
    </w:rPr>
  </w:style>
  <w:style w:type="character" w:styleId="TextkomentraChar" w:customStyle="1">
    <w:name w:val="Text komentára Char"/>
    <w:basedOn w:val="Predvolenpsmoodseku"/>
    <w:link w:val="Textkomentra"/>
    <w:uiPriority w:val="99"/>
    <w:rsid w:val="00150FE8"/>
    <w:rPr>
      <w:sz w:val="20"/>
      <w:szCs w:val="20"/>
    </w:rPr>
  </w:style>
  <w:style w:type="paragraph" w:styleId="Predmetkomentra">
    <w:name w:val="annotation subject"/>
    <w:basedOn w:val="Textkomentra"/>
    <w:next w:val="Textkomentra"/>
    <w:link w:val="PredmetkomentraChar"/>
    <w:uiPriority w:val="99"/>
    <w:semiHidden w:val="1"/>
    <w:unhideWhenUsed w:val="1"/>
    <w:rsid w:val="00150FE8"/>
    <w:rPr>
      <w:b w:val="1"/>
      <w:bCs w:val="1"/>
    </w:rPr>
  </w:style>
  <w:style w:type="character" w:styleId="PredmetkomentraChar" w:customStyle="1">
    <w:name w:val="Predmet komentára Char"/>
    <w:basedOn w:val="TextkomentraChar"/>
    <w:link w:val="Predmetkomentra"/>
    <w:uiPriority w:val="99"/>
    <w:semiHidden w:val="1"/>
    <w:rsid w:val="00150FE8"/>
    <w:rPr>
      <w:b w:val="1"/>
      <w:bCs w:val="1"/>
      <w:sz w:val="20"/>
      <w:szCs w:val="20"/>
    </w:rPr>
  </w:style>
  <w:style w:type="character" w:styleId="Zstupntext">
    <w:name w:val="Placeholder Text"/>
    <w:basedOn w:val="Predvolenpsmoodseku"/>
    <w:uiPriority w:val="99"/>
    <w:semiHidden w:val="1"/>
    <w:rsid w:val="007A757B"/>
    <w:rPr>
      <w:color w:val="666666"/>
    </w:rPr>
  </w:style>
  <w:style w:type="character" w:styleId="PouitHypertextovPrepojenie">
    <w:name w:val="FollowedHyperlink"/>
    <w:basedOn w:val="Predvolenpsmoodseku"/>
    <w:uiPriority w:val="99"/>
    <w:semiHidden w:val="1"/>
    <w:unhideWhenUsed w:val="1"/>
    <w:rsid w:val="00E73091"/>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arketing@gevorkyan.s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evorkyan.sk/en/for-investors" TargetMode="External"/><Relationship Id="rId8" Type="http://schemas.openxmlformats.org/officeDocument/2006/relationships/hyperlink" Target="mailto:investor.relations@gevorkyan.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OqsXwY5tvcWEOg4IH9Fs2Niw==">CgMxLjA4AHIhMVpXRF9mN2d1UjRyTVVhM09lUXhjY2NpaXpsVDZUdGpD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2025-05-15T10:02:00Z</dcterms:created>
  <dc:creator>Martina Sarková</dc:creator>
</cp:coreProperties>
</file>