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Aktualizace hospodaření za 1. pololetí 2025: EBITDA meziročně vzrostla o 15 %. Silné výsledky, lepší výhled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Praha, 17. září 2025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Hlavní události GEVORKYAN H1 2025: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Tržby meziročně vzrostly o 11 % na více než 42,1 milionu EUR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EBITDA meziročně vzrostla o 15 % a dosáhla 13,8 milionu EUR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Marže EBITDA vzrostla o 1,2 procentního bodu, což představuje 32,7 %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Výhled na fiskální rok 2025: Odhadovaný růst tržeb o 11–18 %, růst EBITDA o 15–23 %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5letý výhled: Odhadovaná roční míra růstu tržeb o 10–16 %, roční míra růstu EBITDA o 10–18 %</w:t>
      </w:r>
    </w:p>
    <w:p w:rsidR="00000000" w:rsidDel="00000000" w:rsidP="00000000" w:rsidRDefault="00000000" w:rsidRPr="00000000" w14:paraId="00000009">
      <w:pPr>
        <w:spacing w:after="8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Společnost GEVORKYAN, a.s., světově uznávaný přední inovátor v oblasti práškové metalurgie, oznamuje vybrané finanční a provozní výsledky za šest měsíců končících 30. června 2025, aktualizovaný výhled na fiskální rok 2025 a pětiletý výhled.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Společnost GEVORKYAN, a.s. vykázala za první pololetí roku 2025 tržby ve výši 42,2 milionu EUR, což představuje meziroční nárůst o 11 %, a EBITDA ve výši 13,8 milionu EUR, což představuje meziroční nárůst o 15 %, přičemž marže EBITDA dosáhla 32,7 % (+1,2 p.b. meziročně).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Společnost dále vykázala provozní EBIT ve výši 4,6 milionu EUR v 1. pololetí 2025, což představuje nárůst o 12,0 % ve srovnání se stejným obdobím loňského roku, a zisk po zdanění (EAT) ve výši téměř 3,0 milionu EUR, což představuje nárůst o 17,9 % ve srovnání se stejným obdobím loňského roku.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Na základě silných výsledků za první pololetí, potvrzených objednávek a očekávaných příznivých podmínek společnost GEVORKYAN pro rok 2025 předpokládá růst tržeb o 11–18 % a EBITDA o 15–23 % při marži EBITDA kolem 36 %. V pětiletém období společnost GEVORKYAN očekává meziroční růst tržeb (CAGR) ve výši 10–16 % a meziroční růst EBITDA (CAGR) ve výši 10–18 %, podpořený robustní zakázkovou knihou a novými kontrakty v leteckém a obranném průmyslu a dalších strategických odvětvích.</w:t>
      </w:r>
    </w:p>
    <w:p w:rsidR="00000000" w:rsidDel="00000000" w:rsidP="00000000" w:rsidRDefault="00000000" w:rsidRPr="00000000" w14:paraId="0000000E">
      <w:pP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Další informace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Tuto tiskovou zprávu a další dokumenty naleznete na adrese</w:t>
      </w:r>
      <w:hyperlink r:id="rId7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Pro investory | Gevorkyan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Kontaktní informace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Vztahy s investory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Maxim Platonov,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investor.relations@gevorkyan.sk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Média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Alexandra Hazuchová,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marketing@gevorkyan.sk</w:t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 společnosti GEVORKYAN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GEVORKYAN, a.s., světově uznávaný přední inovátor v oblasti práškové metalurgie, který vyrábí [uveďte stručný přehled] pomocí slinování, vstřikování kovového prášku (MIM), izostatického lisování za tepla (HIP) a aditivní výroby (AM).</w:t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Prohlášení</w:t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Tento dokument nepředstavuje nabídku ani výzvu k prodeji nebo nákupu cenných papírů. Informace obsažené v tomto dokumentu jsou čistě informativní a pro jejich kontext a vysvětlení doporučujeme kontaktovat zástupce společnosti GEVORKYAN, a.s. uvedeného výše. Veřejná nabídka akcií v České republice byla provedena na základě prospektu akcií připraveného v souladu s nařízením Evropského parlamentu a Rady (EU) 2017/1129, který je k dispozici na webových stránkách společnosti GEVORKYAN, a.s.</w:t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Tento dokument obsahuje „výhledová prohlášení“, která lze identifikovat pomocí výrazů jako „může“, „bude“, „očekává“, „věří“, „odhaduje“ atd. a která se týkají strategických priorit, výkonnosti, růstu, transakcí nebo tržních trendů. Podléhají rizikům a nejistotám a skutečné výsledky se mohou podstatně lišit. Prognózy obsažené v tomto dokumentu vycházejí z nejlepšího odhadu vedení společnosti GEVORKYAN ohledně její strategické a finanční situace a budoucích tržních podmínek, trendů a dalších potenciálních vývojů. Tyto úvahy zahrnují rizika a nejistoty. Skutečné výsledky se mohou od těchto prohlášení podstatně lišit, mimo jiné v důsledku: další eskalace války na Ukrajině, včetně dalších sankcí a protisankcí; poptávky po produktech a službách společnosti GEVORKYAN a jejich přijetí na trhu; našich plánů týkajících se dividendové politiky a výplaty dividend, jakož i naší schopnosti získat úvěry, převody nebo jiné platby či záruky od finančních institucí; vládní regulace metalurgického průmyslu a odvětví práškové metalurgie; soudní spory nebo spory s třetími stranami nebo regulačními orgány nebo jiné negativní vývojové trendy týkající se těchto stran; dopad vývozních kontrol a zákonů ovlivňujících obchod a investice na naši schopnost a schopnost důležitých třetích stran dodavatelů nakupovat zboží, software nebo technologie nezbytné pro produkty a služby, které poskytujeme našim zákazníkům, včetně těch, které vznikají v důsledku základních nebo takzvaných „vzájemných cel“ uvalených v zemích, ve kterých působíme; další rizika mimo kontrolu stran nebo nesplnění očekávání týkajících se různých strategických priorit, vliv kolísání měnových kurzů, zvýšená konkurence na trzích, na kterých společnost GEVORKYAN působí, a vliv spotřebních daní na nákupní chování spotřebitelů produktů společnosti GEVORKYAN.</w:t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UPOZORNĚNÍ PRO ČTENÁŘE: PREZENTOVANÉ FINANČNÍ INFORMACE</w:t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Výsledky společnosti GEVORKYAN a další finanční informace uvedené v tomto dokumentu jsou, pokud není uvedeno jinak, připraveny v souladu s Mezinárodními standardy účetního výkaznictví („IFRS“) na základě interních zpráv vedení, za něž odpovídá vedení, a nebyly externě auditovány, přezkoumány ani ověřeny. Proto byste se na tyto informace neměli nadměrně spoléhat. Tyto informace nemusí být indikativní pro skutečné výsledky v jakémkoli budoucím období.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2010315</wp:posOffset>
          </wp:positionH>
          <wp:positionV relativeFrom="paragraph">
            <wp:posOffset>-113028</wp:posOffset>
          </wp:positionV>
          <wp:extent cx="1740089" cy="560637"/>
          <wp:effectExtent b="0" l="0" r="0" t="0"/>
          <wp:wrapNone/>
          <wp:docPr id="14017428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5180" r="0" t="0"/>
                  <a:stretch>
                    <a:fillRect/>
                  </a:stretch>
                </pic:blipFill>
                <pic:spPr>
                  <a:xfrm>
                    <a:off x="0" y="0"/>
                    <a:ext cx="1740089" cy="5606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Hlavika">
    <w:name w:val="header"/>
    <w:basedOn w:val="Normlny"/>
    <w:link w:val="HlavikaChar"/>
    <w:uiPriority w:val="99"/>
    <w:unhideWhenUsed w:val="1"/>
    <w:rsid w:val="00D95CD5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D95CD5"/>
  </w:style>
  <w:style w:type="paragraph" w:styleId="Pta">
    <w:name w:val="footer"/>
    <w:basedOn w:val="Normlny"/>
    <w:link w:val="PtaChar"/>
    <w:uiPriority w:val="99"/>
    <w:unhideWhenUsed w:val="1"/>
    <w:rsid w:val="00D95CD5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D95CD5"/>
  </w:style>
  <w:style w:type="paragraph" w:styleId="Normlnywebov">
    <w:name w:val="Normal (Web)"/>
    <w:basedOn w:val="Normlny"/>
    <w:uiPriority w:val="99"/>
    <w:unhideWhenUsed w:val="1"/>
    <w:rsid w:val="0081351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 w:val="1"/>
    <w:rsid w:val="0081351E"/>
    <w:rPr>
      <w:b w:val="1"/>
      <w:bCs w:val="1"/>
    </w:rPr>
  </w:style>
  <w:style w:type="character" w:styleId="Zvraznenie">
    <w:name w:val="Emphasis"/>
    <w:basedOn w:val="Predvolenpsmoodseku"/>
    <w:uiPriority w:val="20"/>
    <w:qFormat w:val="1"/>
    <w:rsid w:val="0081351E"/>
    <w:rPr>
      <w:i w:val="1"/>
      <w:iCs w:val="1"/>
    </w:rPr>
  </w:style>
  <w:style w:type="character" w:styleId="Hypertextovprepojenie">
    <w:name w:val="Hyperlink"/>
    <w:basedOn w:val="Predvolenpsmoodseku"/>
    <w:uiPriority w:val="99"/>
    <w:unhideWhenUsed w:val="1"/>
    <w:rsid w:val="007965D6"/>
    <w:rPr>
      <w:color w:val="0563c1"/>
      <w:u w:val="single"/>
    </w:rPr>
  </w:style>
  <w:style w:type="paragraph" w:styleId="Revzia">
    <w:name w:val="Revision"/>
    <w:hidden w:val="1"/>
    <w:uiPriority w:val="99"/>
    <w:semiHidden w:val="1"/>
    <w:rsid w:val="009D54D5"/>
    <w:pPr>
      <w:spacing w:after="0" w:line="240" w:lineRule="auto"/>
    </w:pPr>
  </w:style>
  <w:style w:type="character" w:styleId="rynqvb" w:customStyle="1">
    <w:name w:val="rynqvb"/>
    <w:basedOn w:val="Predvolenpsmoodseku"/>
    <w:rsid w:val="00AE7DF0"/>
  </w:style>
  <w:style w:type="character" w:styleId="Nevyrieenzmienka">
    <w:name w:val="Unresolved Mention"/>
    <w:basedOn w:val="Predvolenpsmoodseku"/>
    <w:uiPriority w:val="99"/>
    <w:semiHidden w:val="1"/>
    <w:unhideWhenUsed w:val="1"/>
    <w:rsid w:val="00EE02F2"/>
    <w:rPr>
      <w:color w:val="605e5c"/>
      <w:shd w:color="auto" w:fill="e1dfdd" w:val="clear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150F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 w:val="1"/>
    <w:rsid w:val="00150FE8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150F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150FE8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150FE8"/>
    <w:rPr>
      <w:b w:val="1"/>
      <w:bCs w:val="1"/>
      <w:sz w:val="20"/>
      <w:szCs w:val="20"/>
    </w:rPr>
  </w:style>
  <w:style w:type="character" w:styleId="Zstupntext">
    <w:name w:val="Placeholder Text"/>
    <w:basedOn w:val="Predvolenpsmoodseku"/>
    <w:uiPriority w:val="99"/>
    <w:semiHidden w:val="1"/>
    <w:rsid w:val="007A757B"/>
    <w:rPr>
      <w:color w:val="666666"/>
    </w:rPr>
  </w:style>
  <w:style w:type="character" w:styleId="PouitHypertextovPrepojenie">
    <w:name w:val="FollowedHyperlink"/>
    <w:basedOn w:val="Predvolenpsmoodseku"/>
    <w:uiPriority w:val="99"/>
    <w:semiHidden w:val="1"/>
    <w:unhideWhenUsed w:val="1"/>
    <w:rsid w:val="00E7309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evorkyan.sk/en/for-investors" TargetMode="External"/><Relationship Id="rId8" Type="http://schemas.openxmlformats.org/officeDocument/2006/relationships/hyperlink" Target="https://www.gevorkyan.sk/en/for-investor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ZaZ5fkSAaXheeWZqwYo2KsGVug==">CgMxLjA4AHIhMWlrcFBPdl9MNjg5NE14Q1pNMy0xaW94emQxTVRyU1E4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2025-05-15T10:02:00Z</dcterms:created>
  <dc:creator>Martina Sarková</dc:creator>
</cp:coreProperties>
</file>